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pStyle w:val="SingleSpaced"/>
      </w:pPr>
      <w:bookmarkStart w:id="0" w:name="endoftitlepage"/>
      <w:bookmarkStart w:id="1" w:name="frontmatter"/>
      <w:bookmarkStart w:id="2" w:name="begindoc"/>
      <w:bookmarkStart w:id="3" w:name="_GoBack"/>
      <w:bookmarkEnd w:id="0"/>
      <w:bookmarkEnd w:id="1"/>
      <w:bookmarkEnd w:id="2"/>
      <w:bookmarkEnd w:id="3"/>
      <w:r>
        <w:t>Supplementary Bibliography.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C. West Africa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Adamu, Mahdi and Kirk Greene, A.H.M.  Pastoralists of the West African Savannah.  International African Institute, Manchester University Press, Manchester, 1986.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Awogbade, M.O.  Pastoral Fulani  Reaction to Grazing Reserve Development: The Case of Ruma-Kaker-Jangarai, Kaduna State, Nigeria.  ODI Pastoral Network Paper 16b. ODI., London, 1983.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Berg, E.</w:t>
      </w:r>
      <w:r>
        <w:tab/>
        <w:t>The Recent Economic Evaluation of the Sahel.  Ann Arbor,</w:t>
      </w:r>
      <w:r>
        <w:tab/>
        <w:t>Michigan, 1975.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Bourne, D.M. and Milligan K.   The Dynamics of Cattle Distribution in the Nigerian Sub-humid Zone. Report to ILCA, Kaduna, Nigeria, 1984.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Cisse, S.</w:t>
      </w:r>
      <w:r>
        <w:tab/>
        <w:t>`Is a Grazing Association Possible in the Sahel Area of Mali?'paper given to the 27th Cooperative Education and Management Seminar, University of Wisconsin, (mimeo), 1983.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Dickey, J.  Sahelion Livestock Industry Status and Development Strategy. U.S.AID Sahel Development Programme, Bamako, Mali, 1983.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Dupire, M.  Peuls nomades:  Etude descriptive des Woodabe du Sahel Nigerien. Travaux et memoires de l'Institut d'Ethnologie, 1963.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Eddy, E.D.  Labor and Land use on mixed farms in the Pastoral Zone of Niger.  Center for research in Economic Development, University of Michigan, Ann Arbor, 1979a.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Eddy, E.D.  Prospects for the Development of cattle production on mixed farms in the pastoral zones of Niger.  A summary in Shapiro, K. (ed.) Livestock production and marketing in the Entete States of West Africa, C.R.E.D., Michigan, 1979b.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Federal Ministry of Agriculture, Nigeria.  The Green Revolution: A livestock Production Plan for Nigeria, Lagos, Nigeria, 1981.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Gooch, Toby.  `An experiment with group ranches in Upper Volta'.  ODI. Pastoral Network Paper. 9b., 1979.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Herman, L.  Seminar on West African Livestock Production and Marketing Development:  Cattle marketing in Upper Volta: Major Research Results.  Center for Research on Economic Development, University of Michigan, 1979.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Stenning, D.J. `Transhumance, Migratory Drift, Migration:  Patterns of Pastoral Fulani Nomadism.' Journal of the Royal Anthropological Institute, 87 pp 57- 78, 1957.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Stenning, D.J.  `Household Viability among the Pastoral Fulani'. in The Development Cycle in Domestic Groups.  Goody, J. (ed.), Cambridge Papers in Social Anthropology No.1, Cambridge University Press, 1958.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Stenning, D.J.  Savannah Nomads.  Oxford University Press for the International Africa Institute, London, 1959.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Swift, J.</w:t>
      </w:r>
      <w:r>
        <w:tab/>
        <w:t>The Economics of Traditional Nomadic Pastoralism: theTuareg of the Adrar N Ifaras (Mali).  University of Sussex PhD. dissertation, 1979.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 xml:space="preserve">SWIFT, J.and MALIKI, A.  (1984)  </w:t>
      </w:r>
      <w:r>
        <w:rPr>
          <w:u w:val="single"/>
        </w:rPr>
        <w:t xml:space="preserve">A Cooperative Development Experiment among </w:t>
      </w:r>
      <w:r>
        <w:tab/>
      </w:r>
      <w:r>
        <w:tab/>
      </w:r>
      <w:r>
        <w:rPr>
          <w:u w:val="single"/>
        </w:rPr>
        <w:t>Nomadic Herders in Niger.</w:t>
      </w:r>
      <w:r>
        <w:t xml:space="preserve">  ODI.  Pastoral Development Network </w:t>
      </w:r>
      <w:r>
        <w:tab/>
      </w:r>
      <w:r>
        <w:tab/>
      </w:r>
      <w:r>
        <w:tab/>
        <w:t>Paper.  18c.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USDA/USAID.  Range Management and Livestock Industry, Chad Basin. Washington, August, 1968.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USAID.</w:t>
      </w:r>
      <w:r>
        <w:tab/>
        <w:t>Programme Evaluation Report:  The Workshop on Pastoralism</w:t>
      </w:r>
      <w:r>
        <w:tab/>
        <w:t>and African Livestock Development.  Washington D.C. AID, 1980.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Von Kaufman, R.  Development and Promotion of Integrated Crop/Livestock System in West Africa:  Progression from Traditional Pastoralism towards Integrated Crop/Livestock Systems.  ILCA, Kaduna, (mimeo), 1983.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White, C.</w:t>
      </w:r>
      <w:r>
        <w:tab/>
        <w:t>Poverty and the Role of Credit among Pastoralists in Niger.paper given to the Pastoral Development Network, ODI. London. 1984.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Wilson, R.T. and Wagenaar, K.  An introductory survey of livestock population demography and reproductive performance in the area of the Niger Range and Livestock Project.  ILCA/Mali, Arid and Semi Arid Zones Programme, Bamako, 1982.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Supplementary Bibliography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D.  Christian Community Development and the Church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Barrett, David B.  World Christian Encyclopedia.  New York University Press, 1982.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Barrett, David.  `Silver and Gold have I None:  Church of the Poor or Church of the Rich?'  International Bulletin of Missionary Research, 7:4: 146-152, October, 1983.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Beeftu, Alemu.  Field Staff Training for Development in East Africa:  A case study in One PVO.  unpublished PhD dissertation, Michigan State University, 1973.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Boff, L..Jesus Christ Liberator:  A Critical Christology for OurTimes.  Mary Knoll, Orbis, 1978.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Bragg, Wayne G.  `From Development to Transformation.'  in Vinay Samuel and Christopher Sugden (eds.)  The Church in Response to Human Need, Grand Rapids,  Eerdmans pp.20-51, 1987.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Bridges, R.C.  Introduction' to Krapf, J.L. (1880).  Travels, Researches, and Missionary Labours During Eighteen Years Residence in East Africa.  2nd. Edition., Frank Cass, London, 1968.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Costas, Orlando E.  The Church and its Mission:  A Shattering Critique from the Third World.  Tyndasle, Wheaton, 1974.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CRESR.</w:t>
      </w:r>
      <w:r>
        <w:tab/>
        <w:t>Evangelism and Social Responsibility:  An EvangelicalCommitment.  Lausanne Occasional Paper 21, John R.W. Stott (ed.) Lausanne Committee/World Evangelical Fellowship, Wheaton, 1982.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Dayton, Edward R.  Social Transformation:  The Mission of God.'  in Vinay Samuel and Christopher Sugden (eds),  The Church in Response to Human Need.  pp.52-61, Eerdmans, Grand Rapids, 1987.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Donovan, Vincent J.  Christianity Rediscovered, Maryknoll, New York, Orbis. 1985.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Elliston, Edgar J.  Christian Relief and Development.  Word, Dallas, 1989.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Epsztein, Leon.  Social Justice in the Ancient Near East and the People of the Bible.  SCM Press, 1986.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Evans-Pritchard E.E.  Theories of Primitive Religion.  Oxford, Clarendon, 1965.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Glasser, Arthur F.  `What is Mission Today?'  in G.H.Anderson and T.F. Stransky (eds.), Mission Trends No. 1. Grand Rapids, Eerdmans. 1974.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Groves, C.P.  The Planting of Christianity in Africa, 4 vols. Lutterworth Press, London, 1954.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Hannington, J.  The Last Journals of Bishop Hannington.  Dawson, E.C. (ed.) Seeley and Co., London, 1886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Hiebert, Paul G.  Anthropological Insights for Missionaries.  Baker, Grand Rapids, 1985.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Lewis, I.M.  `Spirit Possession and Deprivation Cults.'  Man (NS), pp.307-327, 1968.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Lewis, I.M.  `Spirit Possession in Northern Somaliland.' in Beattie, J.M. and J. Middleton (eds):  Spirit Mediumship and Society in Africa.  Routledge and Kegan Paul, London, 1969.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Lewis, I.M.  Ecstatic Religion.  Harmondsworth, Penquin, 1970.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McGavran, Donald A.  Understanding Church Growth.  Eerdmans, Grand Rapids, 1970.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Parshall, Phil.  Bridges to Islam:  A Christian Perspective on Folk Islam, Baker, Grand Rapids, 1983.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Ruiz-Garcia, S.  `The Incarnation of the Church in Indigenous Cultures.' Missiology 1:1:21-30, 1973.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Samuel, Vinay and Christopher Sugden (eds.)   The Church in Response to Human Need.  Eerdmans, Grand Rapids, 1987.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Sanders, I.T. `The concept of Community Development' in C.G. Gary (ed.) The Community Development Process.  University of Missouri Press. Columbia, 1970.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Sider, Ronald J.  Rich Christians in an Age of Hunger:  A Biblical Study. Inter Varsity Press, Downers Grove, Ill.,1977.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Sine, Tom.  Development:  Its Secular Past and Its Uncertain Future, in Ronald J. Sider (ed.) Evangelicals and Development. pp.71-86, The Westminster Press, Philadelphia, 1981.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Stockwell, Edward et al.  The Third World Development:  Problems and Perspectives.  Nelson Hall, Chicago,</w:t>
      </w:r>
      <w:r>
        <w:tab/>
        <w:t>1981.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Stoesz, Edgar  Thoughts on Development.  (revised edition), Mennonite Central Committee, Akron, 1977.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Stott, J. and R.T. CotteGospel and Culture.  William Carey Library,Pasadena,1979.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</w:pPr>
      <w:r>
        <w:t>Wonderly, W.L.  `The Incarnation for the Church in the Culture of the People.'  Missiology 1:1:23-28,</w:t>
      </w:r>
      <w:r>
        <w:tab/>
        <w:t>1973.</w:t>
      </w:r>
    </w:p>
    <w:sectPr w:rsidR="00000000">
      <w:headerReference w:type="default" r:id="rId6"/>
      <w:footerReference w:type="first" r:id="rId7"/>
      <w:footnotePr>
        <w:numRestart w:val="eachSect"/>
      </w:footnotePr>
      <w:pgSz w:w="11909" w:h="16834"/>
      <w:pgMar w:top="1440" w:right="1440" w:bottom="1440" w:left="2160" w:header="720" w:footer="108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intFractionalCharacterWidth/>
  <w:hideSpellingErrors/>
  <w:hideGrammaticalErrors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5F0330-3CD8-4372-9F8C-FA3DC375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480" w:lineRule="atLeast"/>
      <w:ind w:firstLine="576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spacing w:line="240" w:lineRule="atLeast"/>
      <w:ind w:firstLine="0"/>
      <w:jc w:val="center"/>
      <w:outlineLvl w:val="0"/>
    </w:p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LeftAligned"/>
    <w:next w:val="Normal"/>
    <w:qFormat/>
    <w:pPr>
      <w:outlineLvl w:val="2"/>
    </w:pPr>
    <w:rPr>
      <w:u w:val="words"/>
    </w:rPr>
  </w:style>
  <w:style w:type="paragraph" w:styleId="Heading4">
    <w:name w:val="heading 4"/>
    <w:basedOn w:val="Heading3"/>
    <w:next w:val="Normal"/>
    <w:qFormat/>
    <w:pPr>
      <w:jc w:val="center"/>
      <w:outlineLvl w:val="3"/>
    </w:pPr>
  </w:style>
  <w:style w:type="paragraph" w:styleId="Heading5">
    <w:name w:val="heading 5"/>
    <w:basedOn w:val="Heading3"/>
    <w:next w:val="Normal"/>
    <w:qFormat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qFormat/>
    <w:pPr>
      <w:jc w:val="center"/>
      <w:outlineLvl w:val="5"/>
    </w:pPr>
  </w:style>
  <w:style w:type="paragraph" w:styleId="Heading7">
    <w:name w:val="heading 7"/>
    <w:basedOn w:val="Normal"/>
    <w:next w:val="Normal"/>
    <w:qFormat/>
    <w:pPr>
      <w:spacing w:line="240" w:lineRule="atLeast"/>
      <w:jc w:val="center"/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7"/>
    <w:next w:val="Normal"/>
  </w:style>
  <w:style w:type="paragraph" w:styleId="TOC7">
    <w:name w:val="toc 7"/>
    <w:basedOn w:val="LeftAligned"/>
    <w:next w:val="Normal"/>
    <w:pPr>
      <w:tabs>
        <w:tab w:val="right" w:leader="dot" w:pos="8640"/>
      </w:tabs>
      <w:ind w:left="576"/>
    </w:pPr>
  </w:style>
  <w:style w:type="paragraph" w:styleId="TOC6">
    <w:name w:val="toc 6"/>
    <w:basedOn w:val="Normal"/>
    <w:next w:val="Normal"/>
    <w:pPr>
      <w:tabs>
        <w:tab w:val="right" w:leader="dot" w:pos="8640"/>
      </w:tabs>
      <w:ind w:firstLine="0"/>
    </w:pPr>
  </w:style>
  <w:style w:type="paragraph" w:styleId="TOC5">
    <w:name w:val="toc 5"/>
    <w:basedOn w:val="Normal"/>
    <w:next w:val="Normal"/>
    <w:pPr>
      <w:tabs>
        <w:tab w:val="right" w:leader="dot" w:pos="8640"/>
      </w:tabs>
      <w:ind w:firstLine="0"/>
    </w:pPr>
  </w:style>
  <w:style w:type="paragraph" w:styleId="TOC4">
    <w:name w:val="toc 4"/>
    <w:basedOn w:val="TOC1"/>
    <w:next w:val="Normal"/>
  </w:style>
  <w:style w:type="paragraph" w:styleId="TOC3">
    <w:name w:val="toc 3"/>
    <w:basedOn w:val="TOC1"/>
    <w:next w:val="Normal"/>
  </w:style>
  <w:style w:type="paragraph" w:styleId="TOC2">
    <w:name w:val="toc 2"/>
    <w:basedOn w:val="Normal"/>
    <w:next w:val="Normal"/>
    <w:pPr>
      <w:tabs>
        <w:tab w:val="right" w:leader="dot" w:pos="8640"/>
      </w:tabs>
      <w:ind w:left="1440" w:right="720" w:firstLine="0"/>
    </w:pPr>
  </w:style>
  <w:style w:type="paragraph" w:styleId="TOC1">
    <w:name w:val="toc 1"/>
    <w:basedOn w:val="Normal"/>
    <w:next w:val="Normal"/>
    <w:pPr>
      <w:tabs>
        <w:tab w:val="right" w:leader="dot" w:pos="8640"/>
      </w:tabs>
      <w:ind w:firstLine="0"/>
    </w:pPr>
  </w:style>
  <w:style w:type="paragraph" w:styleId="Index7">
    <w:name w:val="index 7"/>
    <w:basedOn w:val="Normal"/>
    <w:next w:val="Normal"/>
    <w:pPr>
      <w:ind w:left="2160"/>
    </w:pPr>
  </w:style>
  <w:style w:type="paragraph" w:styleId="Index6">
    <w:name w:val="index 6"/>
    <w:basedOn w:val="Normal"/>
    <w:next w:val="Normal"/>
    <w:pPr>
      <w:ind w:left="1800"/>
    </w:pPr>
  </w:style>
  <w:style w:type="paragraph" w:styleId="Index5">
    <w:name w:val="index 5"/>
    <w:basedOn w:val="Normal"/>
    <w:next w:val="Normal"/>
    <w:pPr>
      <w:ind w:left="1440"/>
    </w:pPr>
  </w:style>
  <w:style w:type="paragraph" w:styleId="Index4">
    <w:name w:val="index 4"/>
    <w:basedOn w:val="Normal"/>
    <w:next w:val="Normal"/>
    <w:pPr>
      <w:ind w:left="1080"/>
    </w:pPr>
  </w:style>
  <w:style w:type="paragraph" w:styleId="Index3">
    <w:name w:val="index 3"/>
    <w:basedOn w:val="Normal"/>
    <w:next w:val="Normal"/>
    <w:pPr>
      <w:ind w:left="720"/>
    </w:pPr>
  </w:style>
  <w:style w:type="paragraph" w:styleId="Index2">
    <w:name w:val="index 2"/>
    <w:basedOn w:val="Normal"/>
    <w:next w:val="Normal"/>
    <w:pPr>
      <w:ind w:left="360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CenteredParagraph"/>
  </w:style>
  <w:style w:type="paragraph" w:styleId="Header">
    <w:name w:val="header"/>
    <w:basedOn w:val="Normal"/>
    <w:pPr>
      <w:spacing w:line="240" w:lineRule="auto"/>
      <w:ind w:firstLine="0"/>
      <w:jc w:val="right"/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pPr>
      <w:spacing w:line="240" w:lineRule="atLeast"/>
      <w:ind w:firstLine="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Half-inchIndent">
    <w:name w:val="Half-inch Indent"/>
    <w:basedOn w:val="MajorHeading"/>
  </w:style>
  <w:style w:type="paragraph" w:customStyle="1" w:styleId="MajorHeading">
    <w:name w:val="Major Heading"/>
    <w:basedOn w:val="Normal"/>
    <w:pPr>
      <w:spacing w:before="480" w:after="240"/>
      <w:ind w:firstLine="0"/>
      <w:jc w:val="center"/>
    </w:pPr>
  </w:style>
  <w:style w:type="paragraph" w:customStyle="1" w:styleId="LeftAligned">
    <w:name w:val="Left Aligned"/>
    <w:basedOn w:val="Normal"/>
    <w:pPr>
      <w:ind w:firstLine="0"/>
    </w:pPr>
  </w:style>
  <w:style w:type="paragraph" w:customStyle="1" w:styleId="quotation-block">
    <w:name w:val="quotation-block"/>
    <w:basedOn w:val="Normal"/>
    <w:next w:val="Normal"/>
    <w:pPr>
      <w:spacing w:line="240" w:lineRule="atLeast"/>
      <w:ind w:left="432" w:firstLine="0"/>
    </w:pPr>
  </w:style>
  <w:style w:type="paragraph" w:customStyle="1" w:styleId="quotation-poetry">
    <w:name w:val="quotation-poetry"/>
    <w:basedOn w:val="quotation-block"/>
    <w:pPr>
      <w:ind w:left="864" w:hanging="360"/>
    </w:pPr>
  </w:style>
  <w:style w:type="paragraph" w:customStyle="1" w:styleId="CenteredParagraph">
    <w:name w:val="Centered Paragraph"/>
    <w:basedOn w:val="Heading1"/>
    <w:next w:val="LeftAligned"/>
    <w:pPr>
      <w:spacing w:after="240"/>
    </w:pPr>
  </w:style>
  <w:style w:type="paragraph" w:customStyle="1" w:styleId="SingleSpaced">
    <w:name w:val="Single Spaced"/>
    <w:basedOn w:val="LeftAligned"/>
    <w:pPr>
      <w:spacing w:line="240" w:lineRule="atLeast"/>
    </w:pPr>
  </w:style>
  <w:style w:type="paragraph" w:customStyle="1" w:styleId="Glossary">
    <w:name w:val="Glossary"/>
    <w:basedOn w:val="LeftAligned"/>
    <w:pPr>
      <w:spacing w:after="240" w:line="240" w:lineRule="atLeast"/>
      <w:ind w:left="634" w:hanging="634"/>
    </w:pPr>
  </w:style>
  <w:style w:type="paragraph" w:customStyle="1" w:styleId="footnoteseparator">
    <w:name w:val="footnote separator"/>
    <w:basedOn w:val="LeftAlign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DISSER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178D0823F1C46BE8E51A786074D5A" ma:contentTypeVersion="7" ma:contentTypeDescription="Create a new document." ma:contentTypeScope="" ma:versionID="b6b0e9e949c7699cc211f857233c03d4">
  <xsd:schema xmlns:xsd="http://www.w3.org/2001/XMLSchema" xmlns:xs="http://www.w3.org/2001/XMLSchema" xmlns:p="http://schemas.microsoft.com/office/2006/metadata/properties" xmlns:ns2="40ccd2d6-495b-4bbf-b5d5-2e51a4aa3f42" targetNamespace="http://schemas.microsoft.com/office/2006/metadata/properties" ma:root="true" ma:fieldsID="844c585c4700438b61b33a56a56dfb85" ns2:_="">
    <xsd:import namespace="40ccd2d6-495b-4bbf-b5d5-2e51a4aa3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d2d6-495b-4bbf-b5d5-2e51a4a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D4854-231E-4174-8B1F-D74E9F558613}"/>
</file>

<file path=customXml/itemProps2.xml><?xml version="1.0" encoding="utf-8"?>
<ds:datastoreItem xmlns:ds="http://schemas.openxmlformats.org/officeDocument/2006/customXml" ds:itemID="{D508941E-CDEB-406D-9185-54854D2474EE}"/>
</file>

<file path=customXml/itemProps3.xml><?xml version="1.0" encoding="utf-8"?>
<ds:datastoreItem xmlns:ds="http://schemas.openxmlformats.org/officeDocument/2006/customXml" ds:itemID="{69CFC68C-8B92-4F76-A46E-A60001639BC9}"/>
</file>

<file path=docProps/app.xml><?xml version="1.0" encoding="utf-8"?>
<Properties xmlns="http://schemas.openxmlformats.org/officeDocument/2006/extended-properties" xmlns:vt="http://schemas.openxmlformats.org/officeDocument/2006/docPropsVTypes">
  <Template>DISSERT2.DOT</Template>
  <TotalTime>9</TotalTime>
  <Pages>1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Supplement</dc:title>
  <dc:subject/>
  <dc:creator>Malcolm I Hunter</dc:creator>
  <cp:keywords/>
  <dc:description/>
  <cp:lastModifiedBy>Malcolm I Hunter</cp:lastModifiedBy>
  <cp:revision>4</cp:revision>
  <dcterms:created xsi:type="dcterms:W3CDTF">2019-10-02T20:06:00Z</dcterms:created>
  <dcterms:modified xsi:type="dcterms:W3CDTF">2019-10-02T20:06:00Z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0x0101007A6178D0823F1C46BE8E51A786074D5A</vt:lpwstr>
  </property>
</Properties>
</file>